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1F3" w:rsidRDefault="001211F3" w:rsidP="006A45BA">
      <w:pPr>
        <w:pStyle w:val="CRCoverPage"/>
        <w:tabs>
          <w:tab w:val="right" w:pos="9639"/>
        </w:tabs>
        <w:spacing w:after="0"/>
        <w:rPr>
          <w:rFonts w:eastAsia="Batang" w:cs="Arial"/>
          <w:sz w:val="18"/>
          <w:szCs w:val="18"/>
          <w:lang w:eastAsia="zh-CN"/>
        </w:rPr>
      </w:pPr>
      <w:bookmarkStart w:id="0" w:name="_GoBack"/>
      <w:bookmarkEnd w:id="0"/>
    </w:p>
    <w:p w:rsidR="006E1476" w:rsidRPr="00CF68B7" w:rsidRDefault="006E1476" w:rsidP="006E1476">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20.4</w:t>
      </w:r>
    </w:p>
    <w:p w:rsidR="006E1476" w:rsidRPr="00CF68B7" w:rsidRDefault="006E1476" w:rsidP="006E1476">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Pr="006E1476">
        <w:rPr>
          <w:rFonts w:ascii="Arial" w:eastAsia="SimSun" w:hAnsi="Arial"/>
          <w:lang w:eastAsia="en-GB"/>
        </w:rPr>
        <w:t>Qualcomm Incorporated</w:t>
      </w:r>
    </w:p>
    <w:p w:rsidR="006E1476" w:rsidRPr="006E1476" w:rsidRDefault="006E1476" w:rsidP="006E1476">
      <w:pPr>
        <w:tabs>
          <w:tab w:val="left" w:pos="1701"/>
        </w:tabs>
        <w:rPr>
          <w:rFonts w:ascii="Arial" w:eastAsia="SimSun" w:hAnsi="Arial"/>
          <w:lang w:eastAsia="en-GB"/>
        </w:rPr>
      </w:pPr>
      <w:r w:rsidRPr="006E1476">
        <w:rPr>
          <w:rFonts w:ascii="Arial" w:eastAsia="SimSun" w:hAnsi="Arial"/>
          <w:lang w:eastAsia="en-GB"/>
        </w:rPr>
        <w:t>Title:</w:t>
      </w:r>
      <w:r w:rsidRPr="006E1476">
        <w:rPr>
          <w:rFonts w:ascii="Arial" w:eastAsia="SimSun" w:hAnsi="Arial"/>
          <w:lang w:eastAsia="en-GB"/>
        </w:rPr>
        <w:tab/>
        <w:t>Summary for work item "Addition of HDR to TV Video Profiles (HDR)"</w:t>
      </w:r>
    </w:p>
    <w:p w:rsidR="006E1476" w:rsidRPr="007F101C" w:rsidRDefault="006E1476" w:rsidP="006E1476">
      <w:pPr>
        <w:tabs>
          <w:tab w:val="left" w:pos="567"/>
          <w:tab w:val="left" w:pos="1701"/>
        </w:tabs>
        <w:rPr>
          <w:rFonts w:ascii="Arial" w:hAnsi="Arial"/>
        </w:rPr>
      </w:pPr>
      <w:r w:rsidRPr="006E1476">
        <w:rPr>
          <w:rFonts w:ascii="Arial" w:hAnsi="Arial"/>
        </w:rPr>
        <w:t>WI code(s):</w:t>
      </w:r>
      <w:r>
        <w:rPr>
          <w:rFonts w:ascii="Arial" w:hAnsi="Arial"/>
        </w:rPr>
        <w:tab/>
      </w:r>
      <w:r w:rsidR="007F101C" w:rsidRPr="007F101C">
        <w:rPr>
          <w:rFonts w:ascii="Arial" w:hAnsi="Arial"/>
        </w:rPr>
        <w:t>HDR (UID: 770023)</w:t>
      </w:r>
    </w:p>
    <w:p w:rsidR="006E1476" w:rsidRPr="006E1476" w:rsidRDefault="006E1476" w:rsidP="006E1476">
      <w:pPr>
        <w:tabs>
          <w:tab w:val="left" w:pos="567"/>
          <w:tab w:val="left" w:pos="1701"/>
        </w:tabs>
        <w:rPr>
          <w:rFonts w:ascii="Arial" w:hAnsi="Arial"/>
        </w:rPr>
      </w:pPr>
      <w:r w:rsidRPr="006E1476">
        <w:rPr>
          <w:rFonts w:ascii="Arial" w:hAnsi="Arial"/>
        </w:rPr>
        <w:t>leading WG:</w:t>
      </w:r>
      <w:r w:rsidRPr="006E1476">
        <w:rPr>
          <w:rFonts w:ascii="Arial" w:hAnsi="Arial"/>
        </w:rPr>
        <w:tab/>
        <w:t>SA</w:t>
      </w:r>
      <w:r w:rsidR="007F101C">
        <w:rPr>
          <w:rFonts w:ascii="Arial" w:hAnsi="Arial"/>
        </w:rPr>
        <w:t>4</w:t>
      </w:r>
    </w:p>
    <w:p w:rsidR="006E1476" w:rsidRPr="006E1476" w:rsidRDefault="006E1476" w:rsidP="006E1476">
      <w:pPr>
        <w:tabs>
          <w:tab w:val="left" w:pos="567"/>
          <w:tab w:val="left" w:pos="1701"/>
        </w:tabs>
        <w:rPr>
          <w:rFonts w:ascii="Arial" w:hAnsi="Arial"/>
        </w:rPr>
      </w:pPr>
      <w:r w:rsidRPr="006E1476">
        <w:rPr>
          <w:rFonts w:ascii="Arial" w:hAnsi="Arial"/>
        </w:rPr>
        <w:t>Release:</w:t>
      </w:r>
      <w:r>
        <w:rPr>
          <w:rFonts w:ascii="Arial" w:hAnsi="Arial"/>
        </w:rPr>
        <w:tab/>
      </w:r>
      <w:r w:rsidRPr="006E1476">
        <w:rPr>
          <w:rFonts w:ascii="Arial" w:hAnsi="Arial"/>
        </w:rPr>
        <w:t>Rel-1</w:t>
      </w:r>
      <w:r>
        <w:rPr>
          <w:rFonts w:ascii="Arial" w:hAnsi="Arial"/>
        </w:rPr>
        <w:t>5</w:t>
      </w:r>
    </w:p>
    <w:p w:rsidR="006E1476" w:rsidRDefault="006E1476" w:rsidP="006E1476">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Eddy Hall</w:t>
      </w:r>
    </w:p>
    <w:p w:rsidR="006E1476" w:rsidRDefault="006E1476" w:rsidP="006E1476">
      <w:pPr>
        <w:tabs>
          <w:tab w:val="left" w:pos="1701"/>
        </w:tabs>
        <w:rPr>
          <w:rFonts w:ascii="Arial" w:eastAsia="SimSun" w:hAnsi="Arial"/>
          <w:lang w:eastAsia="en-GB"/>
        </w:rPr>
      </w:pPr>
      <w:r>
        <w:rPr>
          <w:rFonts w:ascii="Arial" w:eastAsia="SimSun" w:hAnsi="Arial"/>
          <w:lang w:eastAsia="en-GB"/>
        </w:rPr>
        <w:tab/>
      </w:r>
      <w:hyperlink r:id="rId8" w:history="1">
        <w:r w:rsidRPr="00B10BE2">
          <w:rPr>
            <w:rStyle w:val="Hyperlink"/>
            <w:rFonts w:ascii="Arial" w:eastAsia="SimSun" w:hAnsi="Arial"/>
            <w:lang w:eastAsia="en-GB"/>
          </w:rPr>
          <w:t>edhall@qti.qualcomm.com</w:t>
        </w:r>
      </w:hyperlink>
    </w:p>
    <w:p w:rsidR="006E1476" w:rsidRDefault="006E1476" w:rsidP="006E1476">
      <w:pPr>
        <w:pBdr>
          <w:bottom w:val="single" w:sz="4" w:space="1" w:color="auto"/>
        </w:pBdr>
        <w:tabs>
          <w:tab w:val="right" w:pos="9639"/>
        </w:tabs>
        <w:overflowPunct/>
        <w:autoSpaceDE/>
        <w:autoSpaceDN/>
        <w:adjustRightInd/>
        <w:jc w:val="both"/>
        <w:textAlignment w:val="auto"/>
        <w:outlineLvl w:val="0"/>
        <w:rPr>
          <w:rFonts w:ascii="Arial" w:eastAsia="Batang" w:hAnsi="Arial"/>
          <w:b/>
          <w:lang w:eastAsia="zh-CN"/>
        </w:rPr>
      </w:pPr>
    </w:p>
    <w:p w:rsidR="006E1476" w:rsidRPr="006E1476" w:rsidRDefault="006E1476" w:rsidP="006E1476">
      <w:pPr>
        <w:rPr>
          <w:rFonts w:ascii="Arial" w:eastAsia="Batang" w:hAnsi="Arial"/>
          <w:i/>
          <w:lang w:eastAsia="zh-CN"/>
        </w:rPr>
      </w:pPr>
      <w:r w:rsidRPr="006E1476">
        <w:rPr>
          <w:rFonts w:ascii="Arial" w:eastAsia="Batang" w:hAnsi="Arial"/>
          <w:i/>
          <w:lang w:eastAsia="zh-CN"/>
        </w:rPr>
        <w:t xml:space="preserve">Abstract: This Work Item </w:t>
      </w:r>
      <w:r w:rsidRPr="007F101C">
        <w:rPr>
          <w:rFonts w:ascii="Arial" w:eastAsia="Batang" w:hAnsi="Arial"/>
          <w:i/>
          <w:lang w:eastAsia="zh-CN"/>
        </w:rPr>
        <w:t>Summary for the</w:t>
      </w:r>
      <w:r w:rsidR="007F101C" w:rsidRPr="007F101C">
        <w:rPr>
          <w:rFonts w:ascii="Arial" w:eastAsia="Batang" w:hAnsi="Arial"/>
          <w:i/>
          <w:lang w:eastAsia="zh-CN"/>
        </w:rPr>
        <w:t xml:space="preserve"> </w:t>
      </w:r>
      <w:r w:rsidR="007F101C" w:rsidRPr="007F101C">
        <w:rPr>
          <w:rFonts w:ascii="Arial" w:eastAsia="SimSun" w:hAnsi="Arial"/>
          <w:i/>
          <w:lang w:eastAsia="en-GB"/>
        </w:rPr>
        <w:t>"Addition of HDR to TV Video Profiles (HDR)"</w:t>
      </w:r>
      <w:r w:rsidR="007F101C" w:rsidRPr="007F101C">
        <w:rPr>
          <w:rFonts w:ascii="Arial" w:eastAsia="SimSun" w:hAnsi="Arial"/>
          <w:i/>
          <w:lang w:eastAsia="en-GB"/>
        </w:rPr>
        <w:t xml:space="preserve"> work item </w:t>
      </w:r>
      <w:r w:rsidRPr="007F101C">
        <w:rPr>
          <w:rFonts w:ascii="Arial" w:eastAsia="Batang" w:hAnsi="Arial"/>
          <w:i/>
          <w:lang w:eastAsia="zh-CN"/>
        </w:rPr>
        <w:t>was endorsed at SA4 #96 (S4-171160).</w:t>
      </w:r>
    </w:p>
    <w:p w:rsidR="006E1476" w:rsidRDefault="006E1476" w:rsidP="006E1476">
      <w:pPr>
        <w:pStyle w:val="Heading3"/>
      </w:pPr>
      <w:r w:rsidRPr="00A079D3">
        <w:t>1</w:t>
      </w:r>
      <w:r w:rsidRPr="00A079D3">
        <w:tab/>
      </w:r>
      <w:r>
        <w:t>Introduction</w:t>
      </w:r>
    </w:p>
    <w:p w:rsidR="006E1476" w:rsidRPr="00E831A0" w:rsidRDefault="006E1476" w:rsidP="006E1476">
      <w:pPr>
        <w:spacing w:before="120" w:after="0"/>
      </w:pPr>
      <w:r>
        <w:rPr>
          <w:noProof/>
          <w:szCs w:val="24"/>
          <w:lang w:val="en-US"/>
        </w:rPr>
        <w:t xml:space="preserve">This summary reports on the normative specification progress accomplished during the course of the </w:t>
      </w:r>
      <w:r>
        <w:t>HDR work item</w:t>
      </w:r>
      <w:r w:rsidRPr="005743A6">
        <w:t xml:space="preserve"> </w:t>
      </w:r>
      <w:r>
        <w:t>[1]</w:t>
      </w:r>
      <w:r>
        <w:rPr>
          <w:noProof/>
          <w:szCs w:val="24"/>
          <w:lang w:val="en-US"/>
        </w:rPr>
        <w:t>. Primarily, the TV Video Profile specification in TS.26.116 [2]</w:t>
      </w:r>
      <w:r>
        <w:t xml:space="preserve"> was updated to support High Dynamic Range (HDR) video. In addition, the media capabilities are enabled in PSS and MBMS by updates of the specifications TS 26.234 [3] and TS 26.346 [4], respectively.  </w:t>
      </w:r>
    </w:p>
    <w:p w:rsidR="006E1476" w:rsidRDefault="006E1476" w:rsidP="006E1476">
      <w:pPr>
        <w:pStyle w:val="Heading3"/>
      </w:pPr>
      <w:r>
        <w:t>2</w:t>
      </w:r>
      <w:r>
        <w:tab/>
        <w:t>Description</w:t>
      </w:r>
    </w:p>
    <w:p w:rsidR="006E1476" w:rsidRDefault="006E1476" w:rsidP="006E1476">
      <w:pPr>
        <w:rPr>
          <w:lang w:val="en-US"/>
        </w:rPr>
      </w:pPr>
      <w:r>
        <w:t xml:space="preserve">HDR is one of the biggest movements in mobile devices recently. It's following a trend that's been tearing through the TV industry over the past few years. While it is still early days for this emerging technology, it is also making a difference for mobile video and it requires consistent standardized technologies. HDR stands for high dynamic range and it's been a buzzword in TV for the past couple of years. HDR is often assigned to display capabilities, i.e. that the display is able to produce a wider range of colours, bringing greater authenticity, but also about brightness and contrast. In order to feed such new display technologies, consistent and efficient delivery formats have been established in the TV world. The work item supports the move of such experience to mobile devices </w:t>
      </w:r>
      <w:r>
        <w:rPr>
          <w:lang w:val="en-US"/>
        </w:rPr>
        <w:t>to</w:t>
      </w:r>
      <w:r w:rsidRPr="0093492D">
        <w:rPr>
          <w:lang w:val="en-US"/>
        </w:rPr>
        <w:t xml:space="preserve"> create the same stunning </w:t>
      </w:r>
      <w:r>
        <w:rPr>
          <w:lang w:val="en-US"/>
        </w:rPr>
        <w:t>experience</w:t>
      </w:r>
      <w:r w:rsidRPr="0093492D">
        <w:rPr>
          <w:lang w:val="en-US"/>
        </w:rPr>
        <w:t xml:space="preserve">: </w:t>
      </w:r>
      <w:r>
        <w:rPr>
          <w:lang w:val="en-US"/>
        </w:rPr>
        <w:t>richer colo</w:t>
      </w:r>
      <w:r w:rsidRPr="0093492D">
        <w:rPr>
          <w:lang w:val="en-US"/>
        </w:rPr>
        <w:t>r</w:t>
      </w:r>
      <w:r>
        <w:rPr>
          <w:lang w:val="en-US"/>
        </w:rPr>
        <w:t xml:space="preserve">s, </w:t>
      </w:r>
      <w:r w:rsidRPr="0093492D">
        <w:rPr>
          <w:lang w:val="en-US"/>
        </w:rPr>
        <w:t xml:space="preserve">better contrast and brighter highlights. </w:t>
      </w:r>
    </w:p>
    <w:p w:rsidR="006E1476" w:rsidRPr="00C73570" w:rsidRDefault="006E1476" w:rsidP="006E1476">
      <w:pPr>
        <w:rPr>
          <w:bCs/>
        </w:rPr>
      </w:pPr>
      <w:r>
        <w:rPr>
          <w:lang w:val="en-US"/>
        </w:rPr>
        <w:t xml:space="preserve">The work item addresses the definition of consistent and efficient HDR video signals and receiver capabilities for TV centric services in 3GPP. To this end, the experiences and technologies in the TV centric markets have been reviewed and adapted to 3GPP Video. The work item defines </w:t>
      </w:r>
      <w:r>
        <w:rPr>
          <w:bCs/>
        </w:rPr>
        <w:t>the relevant extensions to support High Dynamic Range in 3GPP TV Video Profiles. Specifically, an HDR video profile based on the Perceptual Quantizer (PQ) is defined, following the recommendations in ITU-R BT.2100. This includes the use of H.265 (</w:t>
      </w:r>
      <w:r>
        <w:rPr>
          <w:lang w:val="en-US"/>
        </w:rPr>
        <w:t>HEVC) for compression, the definition of transfer functions and color primaries, the definition of relevant metadata as well as the integration into PSS and MBMS services. The completion of the work brings the 3GPP TV Video Profile specification on par with other TV Video standards, e.g. the ones defined for example by DVB and ATSC.</w:t>
      </w:r>
    </w:p>
    <w:p w:rsidR="006E1476" w:rsidRDefault="006E1476" w:rsidP="006E1476">
      <w:pPr>
        <w:pStyle w:val="Heading3"/>
      </w:pPr>
      <w:r>
        <w:t>3</w:t>
      </w:r>
      <w:r w:rsidRPr="00A079D3">
        <w:tab/>
      </w:r>
      <w:r>
        <w:t>References</w:t>
      </w:r>
    </w:p>
    <w:p w:rsidR="006E1476" w:rsidRPr="006D62D2" w:rsidRDefault="006E1476" w:rsidP="006E1476">
      <w:pPr>
        <w:pStyle w:val="Heading"/>
        <w:tabs>
          <w:tab w:val="left" w:pos="567"/>
          <w:tab w:val="left" w:pos="7200"/>
        </w:tabs>
        <w:spacing w:before="120" w:after="0" w:line="240" w:lineRule="auto"/>
        <w:ind w:left="567" w:hanging="567"/>
        <w:rPr>
          <w:rFonts w:ascii="Times New Roman" w:hAnsi="Times New Roman"/>
          <w:b w:val="0"/>
          <w:sz w:val="20"/>
        </w:rPr>
      </w:pPr>
      <w:r>
        <w:rPr>
          <w:rFonts w:ascii="Times New Roman" w:hAnsi="Times New Roman"/>
          <w:b w:val="0"/>
          <w:sz w:val="20"/>
        </w:rPr>
        <w:t xml:space="preserve">[1] Tdoc </w:t>
      </w:r>
      <w:r w:rsidRPr="0055250E">
        <w:rPr>
          <w:rFonts w:ascii="Times New Roman" w:hAnsi="Times New Roman"/>
          <w:b w:val="0"/>
          <w:sz w:val="20"/>
        </w:rPr>
        <w:t>SP-170610</w:t>
      </w:r>
      <w:r w:rsidRPr="006D62D2">
        <w:rPr>
          <w:rFonts w:ascii="Times New Roman" w:hAnsi="Times New Roman"/>
          <w:b w:val="0"/>
          <w:sz w:val="20"/>
        </w:rPr>
        <w:t xml:space="preserve">, </w:t>
      </w:r>
      <w:r>
        <w:rPr>
          <w:rFonts w:ascii="Times New Roman" w:hAnsi="Times New Roman"/>
          <w:b w:val="0"/>
          <w:sz w:val="20"/>
        </w:rPr>
        <w:t>“</w:t>
      </w:r>
      <w:r w:rsidRPr="0055250E">
        <w:rPr>
          <w:rFonts w:ascii="Times New Roman" w:hAnsi="Times New Roman"/>
          <w:b w:val="0"/>
          <w:sz w:val="20"/>
        </w:rPr>
        <w:t>Addition of HDR to TV Video Profiles (HDR)</w:t>
      </w:r>
      <w:r w:rsidRPr="006D62D2">
        <w:rPr>
          <w:rFonts w:ascii="Times New Roman" w:hAnsi="Times New Roman"/>
          <w:b w:val="0"/>
          <w:sz w:val="20"/>
        </w:rPr>
        <w:t xml:space="preserve">” </w:t>
      </w:r>
    </w:p>
    <w:p w:rsidR="006E1476" w:rsidRPr="005910D6" w:rsidRDefault="006E1476" w:rsidP="006E1476">
      <w:pPr>
        <w:pStyle w:val="Heading"/>
        <w:tabs>
          <w:tab w:val="left" w:pos="567"/>
          <w:tab w:val="left" w:pos="7200"/>
        </w:tabs>
        <w:spacing w:before="120" w:after="0" w:line="240" w:lineRule="auto"/>
        <w:ind w:left="567" w:hanging="567"/>
        <w:rPr>
          <w:rFonts w:ascii="Times New Roman" w:hAnsi="Times New Roman"/>
          <w:b w:val="0"/>
          <w:sz w:val="20"/>
        </w:rPr>
      </w:pPr>
      <w:r w:rsidRPr="005910D6">
        <w:rPr>
          <w:rFonts w:ascii="Times New Roman" w:hAnsi="Times New Roman"/>
          <w:b w:val="0"/>
          <w:sz w:val="20"/>
        </w:rPr>
        <w:t xml:space="preserve">[2] </w:t>
      </w:r>
      <w:r>
        <w:rPr>
          <w:rFonts w:ascii="Times New Roman" w:hAnsi="Times New Roman"/>
          <w:b w:val="0"/>
          <w:sz w:val="20"/>
        </w:rPr>
        <w:t>3GPP TS 26.116, “</w:t>
      </w:r>
      <w:r w:rsidRPr="009E434A">
        <w:rPr>
          <w:rFonts w:ascii="Times New Roman" w:hAnsi="Times New Roman"/>
          <w:b w:val="0"/>
          <w:sz w:val="20"/>
        </w:rPr>
        <w:t>Television (TV) over 3GPP services; Video profiles</w:t>
      </w:r>
      <w:r>
        <w:rPr>
          <w:rFonts w:ascii="Times New Roman" w:hAnsi="Times New Roman"/>
          <w:b w:val="0"/>
          <w:sz w:val="20"/>
        </w:rPr>
        <w:t>”</w:t>
      </w:r>
    </w:p>
    <w:p w:rsidR="006E1476" w:rsidRDefault="006E1476" w:rsidP="006E1476">
      <w:pPr>
        <w:pStyle w:val="Heading"/>
        <w:tabs>
          <w:tab w:val="left" w:pos="567"/>
          <w:tab w:val="left" w:pos="7200"/>
        </w:tabs>
        <w:spacing w:before="120" w:after="0" w:line="240" w:lineRule="auto"/>
        <w:ind w:left="567" w:hanging="567"/>
        <w:rPr>
          <w:rFonts w:ascii="Times New Roman" w:hAnsi="Times New Roman"/>
          <w:b w:val="0"/>
          <w:sz w:val="20"/>
        </w:rPr>
      </w:pPr>
      <w:r>
        <w:rPr>
          <w:rFonts w:ascii="Times New Roman" w:hAnsi="Times New Roman"/>
          <w:b w:val="0"/>
          <w:sz w:val="20"/>
        </w:rPr>
        <w:t>[3</w:t>
      </w:r>
      <w:r w:rsidRPr="005910D6">
        <w:rPr>
          <w:rFonts w:ascii="Times New Roman" w:hAnsi="Times New Roman"/>
          <w:b w:val="0"/>
          <w:sz w:val="20"/>
        </w:rPr>
        <w:t>]</w:t>
      </w:r>
      <w:r>
        <w:rPr>
          <w:rFonts w:ascii="Times New Roman" w:hAnsi="Times New Roman"/>
          <w:b w:val="0"/>
          <w:sz w:val="20"/>
        </w:rPr>
        <w:t xml:space="preserve"> 3GPP TS 26.234, “</w:t>
      </w:r>
      <w:r w:rsidRPr="00AD4DC1">
        <w:rPr>
          <w:rFonts w:ascii="Times New Roman" w:hAnsi="Times New Roman"/>
          <w:b w:val="0"/>
          <w:sz w:val="20"/>
        </w:rPr>
        <w:t>Transparent end-to-end Packet-switched Streaming Service (PSS); Protocols and codecs</w:t>
      </w:r>
      <w:r>
        <w:rPr>
          <w:rFonts w:ascii="Times New Roman" w:hAnsi="Times New Roman"/>
          <w:b w:val="0"/>
          <w:sz w:val="20"/>
        </w:rPr>
        <w:t>”</w:t>
      </w:r>
      <w:r w:rsidRPr="005910D6">
        <w:rPr>
          <w:rFonts w:ascii="Times New Roman" w:hAnsi="Times New Roman"/>
          <w:b w:val="0"/>
          <w:sz w:val="20"/>
        </w:rPr>
        <w:t xml:space="preserve"> </w:t>
      </w:r>
    </w:p>
    <w:p w:rsidR="006E1476" w:rsidRDefault="006E1476" w:rsidP="006E1476">
      <w:pPr>
        <w:pStyle w:val="Heading"/>
        <w:tabs>
          <w:tab w:val="left" w:pos="567"/>
          <w:tab w:val="left" w:pos="7200"/>
        </w:tabs>
        <w:spacing w:before="120" w:after="0" w:line="240" w:lineRule="auto"/>
        <w:ind w:left="567" w:hanging="567"/>
        <w:rPr>
          <w:rFonts w:ascii="Times New Roman" w:hAnsi="Times New Roman"/>
          <w:b w:val="0"/>
          <w:sz w:val="20"/>
        </w:rPr>
      </w:pPr>
      <w:r>
        <w:rPr>
          <w:rFonts w:ascii="Times New Roman" w:hAnsi="Times New Roman"/>
          <w:b w:val="0"/>
          <w:sz w:val="20"/>
        </w:rPr>
        <w:t>[4</w:t>
      </w:r>
      <w:r w:rsidRPr="005910D6">
        <w:rPr>
          <w:rFonts w:ascii="Times New Roman" w:hAnsi="Times New Roman"/>
          <w:b w:val="0"/>
          <w:sz w:val="20"/>
        </w:rPr>
        <w:t>]</w:t>
      </w:r>
      <w:r>
        <w:rPr>
          <w:rFonts w:ascii="Times New Roman" w:hAnsi="Times New Roman"/>
          <w:b w:val="0"/>
          <w:sz w:val="20"/>
        </w:rPr>
        <w:t xml:space="preserve"> 3GPP TS 26.346, “</w:t>
      </w:r>
      <w:r w:rsidRPr="00E831A0">
        <w:rPr>
          <w:rFonts w:ascii="Times New Roman" w:hAnsi="Times New Roman"/>
          <w:b w:val="0"/>
          <w:sz w:val="20"/>
        </w:rPr>
        <w:t>Multimedia Broadcast/Multicast Service (MBMS); Protocols and codecs</w:t>
      </w:r>
      <w:r>
        <w:rPr>
          <w:rFonts w:ascii="Times New Roman" w:hAnsi="Times New Roman"/>
          <w:b w:val="0"/>
          <w:sz w:val="20"/>
        </w:rPr>
        <w:t>”</w:t>
      </w:r>
      <w:r w:rsidRPr="005910D6">
        <w:rPr>
          <w:rFonts w:ascii="Times New Roman" w:hAnsi="Times New Roman"/>
          <w:b w:val="0"/>
          <w:sz w:val="20"/>
        </w:rPr>
        <w:t xml:space="preserve"> </w:t>
      </w:r>
    </w:p>
    <w:p w:rsidR="006E1476" w:rsidRPr="005910D6" w:rsidRDefault="006E1476" w:rsidP="006E1476">
      <w:pPr>
        <w:pStyle w:val="Heading"/>
        <w:tabs>
          <w:tab w:val="left" w:pos="567"/>
          <w:tab w:val="left" w:pos="7200"/>
        </w:tabs>
        <w:spacing w:before="120" w:after="0" w:line="240" w:lineRule="auto"/>
        <w:ind w:left="567" w:hanging="567"/>
        <w:rPr>
          <w:rFonts w:ascii="Times New Roman" w:hAnsi="Times New Roman"/>
          <w:b w:val="0"/>
          <w:sz w:val="20"/>
        </w:rPr>
      </w:pPr>
    </w:p>
    <w:p w:rsidR="006E1476" w:rsidRPr="006E1476" w:rsidRDefault="006E1476" w:rsidP="006E1476">
      <w:pPr>
        <w:rPr>
          <w:rFonts w:ascii="Arial" w:eastAsia="Batang" w:hAnsi="Arial"/>
          <w:lang w:eastAsia="zh-CN"/>
        </w:rPr>
      </w:pPr>
    </w:p>
    <w:p w:rsidR="006E1476" w:rsidRPr="006E1476" w:rsidRDefault="006E1476" w:rsidP="006E1476">
      <w:pPr>
        <w:rPr>
          <w:rFonts w:ascii="Arial" w:eastAsia="Batang" w:hAnsi="Arial"/>
          <w:lang w:eastAsia="zh-CN"/>
        </w:rPr>
      </w:pPr>
    </w:p>
    <w:p w:rsidR="006E1476" w:rsidRPr="006E1476" w:rsidRDefault="006E1476" w:rsidP="006E1476">
      <w:pPr>
        <w:rPr>
          <w:rFonts w:ascii="Arial" w:eastAsia="Batang" w:hAnsi="Arial"/>
          <w:lang w:eastAsia="zh-CN"/>
        </w:rPr>
      </w:pPr>
    </w:p>
    <w:p w:rsidR="006E1476" w:rsidRPr="006E1476" w:rsidRDefault="006E1476" w:rsidP="006E1476">
      <w:pPr>
        <w:rPr>
          <w:rFonts w:ascii="Arial" w:eastAsia="Batang" w:hAnsi="Arial"/>
          <w:lang w:eastAsia="zh-CN"/>
        </w:rPr>
      </w:pPr>
    </w:p>
    <w:p w:rsidR="006E1476" w:rsidRPr="006E1476" w:rsidRDefault="006E1476" w:rsidP="006E1476">
      <w:pPr>
        <w:rPr>
          <w:rFonts w:ascii="Arial" w:eastAsia="Batang" w:hAnsi="Arial"/>
          <w:lang w:eastAsia="zh-CN"/>
        </w:rPr>
      </w:pPr>
    </w:p>
    <w:p w:rsidR="006E1476" w:rsidRPr="006E1476" w:rsidRDefault="006E1476" w:rsidP="006E1476">
      <w:pPr>
        <w:rPr>
          <w:rFonts w:ascii="Arial" w:eastAsia="Batang" w:hAnsi="Arial"/>
          <w:lang w:eastAsia="zh-CN"/>
        </w:rPr>
      </w:pPr>
    </w:p>
    <w:p w:rsidR="006E1476" w:rsidRDefault="006E1476" w:rsidP="006E1476">
      <w:pPr>
        <w:rPr>
          <w:rFonts w:ascii="Arial" w:eastAsia="Batang" w:hAnsi="Arial"/>
          <w:lang w:eastAsia="zh-CN"/>
        </w:rPr>
      </w:pPr>
    </w:p>
    <w:p w:rsidR="00AE25BF" w:rsidRDefault="006E1476" w:rsidP="006E1476">
      <w:pPr>
        <w:tabs>
          <w:tab w:val="left" w:pos="3705"/>
        </w:tabs>
        <w:rPr>
          <w:rFonts w:ascii="Arial" w:eastAsia="Batang" w:hAnsi="Arial"/>
          <w:lang w:eastAsia="zh-CN"/>
        </w:rPr>
      </w:pPr>
      <w:r>
        <w:rPr>
          <w:rFonts w:ascii="Arial" w:eastAsia="Batang" w:hAnsi="Arial"/>
          <w:lang w:eastAsia="zh-CN"/>
        </w:rPr>
        <w:tab/>
      </w:r>
    </w:p>
    <w:p w:rsidR="006E1476" w:rsidRDefault="006E1476" w:rsidP="006E1476">
      <w:pPr>
        <w:tabs>
          <w:tab w:val="left" w:pos="3705"/>
        </w:tabs>
        <w:rPr>
          <w:rFonts w:ascii="Arial" w:eastAsia="Batang" w:hAnsi="Arial"/>
          <w:lang w:eastAsia="zh-CN"/>
        </w:rPr>
      </w:pPr>
    </w:p>
    <w:p w:rsidR="006E1476" w:rsidRDefault="006E1476" w:rsidP="006E1476">
      <w:pPr>
        <w:tabs>
          <w:tab w:val="left" w:pos="3705"/>
        </w:tabs>
        <w:rPr>
          <w:rFonts w:ascii="Arial" w:eastAsia="Batang" w:hAnsi="Arial"/>
          <w:lang w:eastAsia="zh-CN"/>
        </w:rPr>
      </w:pPr>
    </w:p>
    <w:p w:rsidR="006E1476" w:rsidRDefault="006E1476" w:rsidP="006E1476">
      <w:pPr>
        <w:tabs>
          <w:tab w:val="left" w:pos="3705"/>
        </w:tabs>
        <w:rPr>
          <w:rFonts w:ascii="Arial" w:eastAsia="Batang" w:hAnsi="Arial"/>
          <w:lang w:eastAsia="zh-CN"/>
        </w:rPr>
      </w:pPr>
    </w:p>
    <w:p w:rsidR="006E1476" w:rsidRPr="006E1476" w:rsidRDefault="006E1476" w:rsidP="006E1476">
      <w:pPr>
        <w:tabs>
          <w:tab w:val="left" w:pos="3705"/>
        </w:tabs>
        <w:rPr>
          <w:rFonts w:ascii="Arial" w:eastAsia="Batang" w:hAnsi="Arial"/>
          <w:lang w:eastAsia="zh-CN"/>
        </w:rPr>
      </w:pPr>
    </w:p>
    <w:sectPr w:rsidR="006E1476" w:rsidRPr="006E1476" w:rsidSect="00B14709">
      <w:headerReference w:type="default" r:id="rId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B57" w:rsidRDefault="00443B57">
      <w:r>
        <w:separator/>
      </w:r>
    </w:p>
  </w:endnote>
  <w:endnote w:type="continuationSeparator" w:id="0">
    <w:p w:rsidR="00443B57" w:rsidRDefault="0044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B57" w:rsidRDefault="00443B57">
      <w:r>
        <w:separator/>
      </w:r>
    </w:p>
  </w:footnote>
  <w:footnote w:type="continuationSeparator" w:id="0">
    <w:p w:rsidR="00443B57" w:rsidRDefault="00443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476" w:rsidRPr="00DB6445" w:rsidRDefault="006E1476" w:rsidP="006E1476">
    <w:pPr>
      <w:tabs>
        <w:tab w:val="right" w:pos="9639"/>
      </w:tabs>
      <w:rPr>
        <w:rFonts w:ascii="Arial" w:eastAsia="Batang" w:hAnsi="Arial"/>
        <w:b/>
        <w:sz w:val="24"/>
        <w:szCs w:val="24"/>
      </w:rPr>
    </w:pPr>
    <w:r w:rsidRPr="00DB6445">
      <w:rPr>
        <w:rFonts w:ascii="Arial" w:eastAsia="Batang" w:hAnsi="Arial"/>
        <w:b/>
        <w:sz w:val="24"/>
        <w:szCs w:val="24"/>
      </w:rPr>
      <w:t>3GPP TSG SA Meeting #78</w:t>
    </w:r>
    <w:r w:rsidRPr="00DB6445">
      <w:rPr>
        <w:rFonts w:ascii="Arial" w:eastAsia="Batang" w:hAnsi="Arial"/>
        <w:sz w:val="24"/>
        <w:szCs w:val="24"/>
      </w:rPr>
      <w:tab/>
    </w:r>
    <w:r w:rsidRPr="00DB6445">
      <w:rPr>
        <w:rFonts w:ascii="Arial" w:eastAsia="Batang" w:hAnsi="Arial"/>
        <w:b/>
        <w:sz w:val="24"/>
        <w:szCs w:val="24"/>
      </w:rPr>
      <w:t>TD SP-17</w:t>
    </w:r>
    <w:r>
      <w:rPr>
        <w:rFonts w:ascii="Arial" w:eastAsia="Batang" w:hAnsi="Arial"/>
        <w:b/>
        <w:sz w:val="24"/>
        <w:szCs w:val="24"/>
      </w:rPr>
      <w:t>1006</w:t>
    </w:r>
  </w:p>
  <w:p w:rsidR="006E1476" w:rsidRPr="00DB6445" w:rsidRDefault="006E1476" w:rsidP="006E1476">
    <w:pPr>
      <w:pStyle w:val="Heading2"/>
      <w:pBdr>
        <w:bottom w:val="single" w:sz="4" w:space="1" w:color="auto"/>
      </w:pBdr>
      <w:tabs>
        <w:tab w:val="right" w:pos="9639"/>
      </w:tabs>
      <w:rPr>
        <w:b/>
        <w:sz w:val="24"/>
        <w:szCs w:val="24"/>
        <w:lang w:val="en-US"/>
      </w:rPr>
    </w:pPr>
    <w:r>
      <w:rPr>
        <w:sz w:val="24"/>
        <w:szCs w:val="24"/>
        <w:lang w:val="en-US"/>
      </w:rPr>
      <w:t>Lisbon, PT, 20-22 December 2017</w:t>
    </w:r>
    <w:r>
      <w:rPr>
        <w:b/>
        <w:i/>
        <w:sz w:val="24"/>
        <w:szCs w:val="24"/>
        <w:lang w:val="en-US"/>
      </w:rPr>
      <w:tab/>
    </w:r>
  </w:p>
  <w:p w:rsidR="006E1476" w:rsidRDefault="006E1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316"/>
    <w:rsid w:val="0002531C"/>
    <w:rsid w:val="00037C06"/>
    <w:rsid w:val="00044DAE"/>
    <w:rsid w:val="00052BF8"/>
    <w:rsid w:val="00057116"/>
    <w:rsid w:val="00064CB2"/>
    <w:rsid w:val="00066954"/>
    <w:rsid w:val="00067741"/>
    <w:rsid w:val="00067D65"/>
    <w:rsid w:val="00072A56"/>
    <w:rsid w:val="000A3125"/>
    <w:rsid w:val="000B0519"/>
    <w:rsid w:val="000B61FD"/>
    <w:rsid w:val="000C5FE3"/>
    <w:rsid w:val="000D122A"/>
    <w:rsid w:val="000E55AD"/>
    <w:rsid w:val="000F48F1"/>
    <w:rsid w:val="001001BD"/>
    <w:rsid w:val="00102222"/>
    <w:rsid w:val="00106300"/>
    <w:rsid w:val="00120541"/>
    <w:rsid w:val="001211F3"/>
    <w:rsid w:val="001259C1"/>
    <w:rsid w:val="00141AF2"/>
    <w:rsid w:val="00146F7E"/>
    <w:rsid w:val="00172156"/>
    <w:rsid w:val="00174617"/>
    <w:rsid w:val="001759A7"/>
    <w:rsid w:val="001A00AC"/>
    <w:rsid w:val="001A4192"/>
    <w:rsid w:val="001C5C86"/>
    <w:rsid w:val="001C5FCB"/>
    <w:rsid w:val="001C718D"/>
    <w:rsid w:val="001F7EB4"/>
    <w:rsid w:val="002000C2"/>
    <w:rsid w:val="00205F25"/>
    <w:rsid w:val="00221B1E"/>
    <w:rsid w:val="00231147"/>
    <w:rsid w:val="00240DCD"/>
    <w:rsid w:val="0024786B"/>
    <w:rsid w:val="00251D80"/>
    <w:rsid w:val="002640E5"/>
    <w:rsid w:val="0026436F"/>
    <w:rsid w:val="0026606E"/>
    <w:rsid w:val="00276403"/>
    <w:rsid w:val="002A5716"/>
    <w:rsid w:val="002D2AB6"/>
    <w:rsid w:val="002E318B"/>
    <w:rsid w:val="002E6A7D"/>
    <w:rsid w:val="002E7A9E"/>
    <w:rsid w:val="002F3C41"/>
    <w:rsid w:val="002F7EFB"/>
    <w:rsid w:val="0030045C"/>
    <w:rsid w:val="003205AD"/>
    <w:rsid w:val="0033027D"/>
    <w:rsid w:val="00335FB2"/>
    <w:rsid w:val="00344158"/>
    <w:rsid w:val="003638C8"/>
    <w:rsid w:val="00381887"/>
    <w:rsid w:val="0038516D"/>
    <w:rsid w:val="003869D7"/>
    <w:rsid w:val="003A1EB0"/>
    <w:rsid w:val="003C0F14"/>
    <w:rsid w:val="003C6DA6"/>
    <w:rsid w:val="003D62A9"/>
    <w:rsid w:val="003F268E"/>
    <w:rsid w:val="003F7B3D"/>
    <w:rsid w:val="00411698"/>
    <w:rsid w:val="00414164"/>
    <w:rsid w:val="0041789B"/>
    <w:rsid w:val="004260A5"/>
    <w:rsid w:val="00432283"/>
    <w:rsid w:val="0043745F"/>
    <w:rsid w:val="0044029F"/>
    <w:rsid w:val="00443B57"/>
    <w:rsid w:val="0048267C"/>
    <w:rsid w:val="004876B9"/>
    <w:rsid w:val="00493A79"/>
    <w:rsid w:val="004A40BE"/>
    <w:rsid w:val="004A6A60"/>
    <w:rsid w:val="004C634D"/>
    <w:rsid w:val="004D24B9"/>
    <w:rsid w:val="004E2CE2"/>
    <w:rsid w:val="004E5172"/>
    <w:rsid w:val="004E6F8A"/>
    <w:rsid w:val="00502CD2"/>
    <w:rsid w:val="00504E33"/>
    <w:rsid w:val="00517EE4"/>
    <w:rsid w:val="00532117"/>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67ACC"/>
    <w:rsid w:val="00671BBB"/>
    <w:rsid w:val="00682237"/>
    <w:rsid w:val="0069722C"/>
    <w:rsid w:val="006A0EF8"/>
    <w:rsid w:val="006A45BA"/>
    <w:rsid w:val="006B4280"/>
    <w:rsid w:val="006B4B1C"/>
    <w:rsid w:val="006C4991"/>
    <w:rsid w:val="006E0F19"/>
    <w:rsid w:val="006E13CE"/>
    <w:rsid w:val="006E1476"/>
    <w:rsid w:val="006E1FDA"/>
    <w:rsid w:val="006E52DE"/>
    <w:rsid w:val="006E5E87"/>
    <w:rsid w:val="00707673"/>
    <w:rsid w:val="007162BE"/>
    <w:rsid w:val="00722267"/>
    <w:rsid w:val="0075252A"/>
    <w:rsid w:val="00757326"/>
    <w:rsid w:val="00764B84"/>
    <w:rsid w:val="00765028"/>
    <w:rsid w:val="0078034D"/>
    <w:rsid w:val="00790BCC"/>
    <w:rsid w:val="00795CEE"/>
    <w:rsid w:val="0079687B"/>
    <w:rsid w:val="007974F5"/>
    <w:rsid w:val="007A5AA5"/>
    <w:rsid w:val="007B0F49"/>
    <w:rsid w:val="007C2405"/>
    <w:rsid w:val="007C7E14"/>
    <w:rsid w:val="007D03D2"/>
    <w:rsid w:val="007D1AB2"/>
    <w:rsid w:val="007F101C"/>
    <w:rsid w:val="007F522E"/>
    <w:rsid w:val="007F7421"/>
    <w:rsid w:val="00801F7F"/>
    <w:rsid w:val="00816373"/>
    <w:rsid w:val="00834A60"/>
    <w:rsid w:val="00835231"/>
    <w:rsid w:val="00837DA1"/>
    <w:rsid w:val="00842A6F"/>
    <w:rsid w:val="008636A7"/>
    <w:rsid w:val="00863E89"/>
    <w:rsid w:val="00872B3B"/>
    <w:rsid w:val="0087372F"/>
    <w:rsid w:val="0088222A"/>
    <w:rsid w:val="008901F6"/>
    <w:rsid w:val="008913FD"/>
    <w:rsid w:val="00896C03"/>
    <w:rsid w:val="008A495D"/>
    <w:rsid w:val="008A76FD"/>
    <w:rsid w:val="008B2D09"/>
    <w:rsid w:val="008B519F"/>
    <w:rsid w:val="008B56C6"/>
    <w:rsid w:val="008C537F"/>
    <w:rsid w:val="008D658B"/>
    <w:rsid w:val="009437A2"/>
    <w:rsid w:val="00944B28"/>
    <w:rsid w:val="00963086"/>
    <w:rsid w:val="00967838"/>
    <w:rsid w:val="00974D6A"/>
    <w:rsid w:val="00975987"/>
    <w:rsid w:val="00982CD6"/>
    <w:rsid w:val="00985B73"/>
    <w:rsid w:val="009870A7"/>
    <w:rsid w:val="00992266"/>
    <w:rsid w:val="00994A54"/>
    <w:rsid w:val="009A3BC4"/>
    <w:rsid w:val="009B1936"/>
    <w:rsid w:val="009B493F"/>
    <w:rsid w:val="009C2977"/>
    <w:rsid w:val="009C2DCC"/>
    <w:rsid w:val="009E6C21"/>
    <w:rsid w:val="009F7959"/>
    <w:rsid w:val="00A004EC"/>
    <w:rsid w:val="00A01CFF"/>
    <w:rsid w:val="00A10539"/>
    <w:rsid w:val="00A1198E"/>
    <w:rsid w:val="00A15763"/>
    <w:rsid w:val="00A203E0"/>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1DAE"/>
    <w:rsid w:val="00AB5640"/>
    <w:rsid w:val="00AB58BF"/>
    <w:rsid w:val="00AC7FDB"/>
    <w:rsid w:val="00AD77C4"/>
    <w:rsid w:val="00AE25BF"/>
    <w:rsid w:val="00AF0C13"/>
    <w:rsid w:val="00B03AF5"/>
    <w:rsid w:val="00B03C01"/>
    <w:rsid w:val="00B078D6"/>
    <w:rsid w:val="00B1248D"/>
    <w:rsid w:val="00B14709"/>
    <w:rsid w:val="00B2743D"/>
    <w:rsid w:val="00B3015C"/>
    <w:rsid w:val="00B344D8"/>
    <w:rsid w:val="00B73B4C"/>
    <w:rsid w:val="00B73F75"/>
    <w:rsid w:val="00B766A4"/>
    <w:rsid w:val="00B80EEF"/>
    <w:rsid w:val="00BA3A53"/>
    <w:rsid w:val="00BA4095"/>
    <w:rsid w:val="00BA5B43"/>
    <w:rsid w:val="00BC642A"/>
    <w:rsid w:val="00BF7C9D"/>
    <w:rsid w:val="00C01E8C"/>
    <w:rsid w:val="00C03E01"/>
    <w:rsid w:val="00C242EF"/>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1C85"/>
    <w:rsid w:val="00CC72A4"/>
    <w:rsid w:val="00CD3153"/>
    <w:rsid w:val="00CF6810"/>
    <w:rsid w:val="00D11DFB"/>
    <w:rsid w:val="00D25119"/>
    <w:rsid w:val="00D31CC8"/>
    <w:rsid w:val="00D32678"/>
    <w:rsid w:val="00D521C1"/>
    <w:rsid w:val="00D62399"/>
    <w:rsid w:val="00D71F40"/>
    <w:rsid w:val="00D77416"/>
    <w:rsid w:val="00D80FC6"/>
    <w:rsid w:val="00DA74F3"/>
    <w:rsid w:val="00DB196C"/>
    <w:rsid w:val="00DB69F3"/>
    <w:rsid w:val="00DC4907"/>
    <w:rsid w:val="00DD017C"/>
    <w:rsid w:val="00DD397A"/>
    <w:rsid w:val="00DD4AFE"/>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A496A"/>
    <w:rsid w:val="00EC3039"/>
    <w:rsid w:val="00ED7A5B"/>
    <w:rsid w:val="00F07C92"/>
    <w:rsid w:val="00F14B43"/>
    <w:rsid w:val="00F203C7"/>
    <w:rsid w:val="00F215E2"/>
    <w:rsid w:val="00F41A27"/>
    <w:rsid w:val="00F4338D"/>
    <w:rsid w:val="00F43E74"/>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32AE3"/>
  <w15:docId w15:val="{DB5DB0C3-B6DC-4D26-BC4F-069FA9007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1AF2"/>
    <w:pPr>
      <w:overflowPunct w:val="0"/>
      <w:autoSpaceDE w:val="0"/>
      <w:autoSpaceDN w:val="0"/>
      <w:adjustRightInd w:val="0"/>
      <w:spacing w:after="180"/>
      <w:textAlignment w:val="baseline"/>
    </w:pPr>
    <w:rPr>
      <w:lang w:val="en-GB"/>
    </w:rPr>
  </w:style>
  <w:style w:type="paragraph" w:styleId="Heading1">
    <w:name w:val="heading 1"/>
    <w:next w:val="Normal"/>
    <w:qFormat/>
    <w:rsid w:val="00141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41AF2"/>
    <w:pPr>
      <w:pBdr>
        <w:top w:val="none" w:sz="0" w:space="0" w:color="auto"/>
      </w:pBdr>
      <w:spacing w:before="180"/>
      <w:outlineLvl w:val="1"/>
    </w:pPr>
    <w:rPr>
      <w:sz w:val="32"/>
    </w:rPr>
  </w:style>
  <w:style w:type="paragraph" w:styleId="Heading3">
    <w:name w:val="heading 3"/>
    <w:basedOn w:val="Heading2"/>
    <w:next w:val="Normal"/>
    <w:qFormat/>
    <w:rsid w:val="00141AF2"/>
    <w:pPr>
      <w:spacing w:before="120"/>
      <w:outlineLvl w:val="2"/>
    </w:pPr>
    <w:rPr>
      <w:sz w:val="28"/>
    </w:rPr>
  </w:style>
  <w:style w:type="paragraph" w:styleId="Heading4">
    <w:name w:val="heading 4"/>
    <w:basedOn w:val="Heading3"/>
    <w:next w:val="Normal"/>
    <w:qFormat/>
    <w:rsid w:val="00141AF2"/>
    <w:pPr>
      <w:ind w:left="1418" w:hanging="1418"/>
      <w:outlineLvl w:val="3"/>
    </w:pPr>
    <w:rPr>
      <w:sz w:val="24"/>
    </w:rPr>
  </w:style>
  <w:style w:type="paragraph" w:styleId="Heading5">
    <w:name w:val="heading 5"/>
    <w:basedOn w:val="Heading4"/>
    <w:next w:val="Normal"/>
    <w:qFormat/>
    <w:rsid w:val="00141AF2"/>
    <w:pPr>
      <w:ind w:left="1701" w:hanging="1701"/>
      <w:outlineLvl w:val="4"/>
    </w:pPr>
    <w:rPr>
      <w:sz w:val="22"/>
    </w:rPr>
  </w:style>
  <w:style w:type="paragraph" w:styleId="Heading6">
    <w:name w:val="heading 6"/>
    <w:basedOn w:val="H6"/>
    <w:next w:val="Normal"/>
    <w:qFormat/>
    <w:rsid w:val="00141AF2"/>
    <w:pPr>
      <w:outlineLvl w:val="5"/>
    </w:pPr>
  </w:style>
  <w:style w:type="paragraph" w:styleId="Heading7">
    <w:name w:val="heading 7"/>
    <w:basedOn w:val="H6"/>
    <w:next w:val="Normal"/>
    <w:qFormat/>
    <w:rsid w:val="00141AF2"/>
    <w:pPr>
      <w:outlineLvl w:val="6"/>
    </w:pPr>
  </w:style>
  <w:style w:type="paragraph" w:styleId="Heading8">
    <w:name w:val="heading 8"/>
    <w:basedOn w:val="Heading1"/>
    <w:next w:val="Normal"/>
    <w:qFormat/>
    <w:rsid w:val="00141AF2"/>
    <w:pPr>
      <w:ind w:left="0" w:firstLine="0"/>
      <w:outlineLvl w:val="7"/>
    </w:pPr>
  </w:style>
  <w:style w:type="paragraph" w:styleId="Heading9">
    <w:name w:val="heading 9"/>
    <w:basedOn w:val="Heading8"/>
    <w:next w:val="Normal"/>
    <w:qFormat/>
    <w:rsid w:val="00141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1AF2"/>
    <w:pPr>
      <w:keepNext/>
      <w:keepLines/>
      <w:spacing w:after="0"/>
    </w:pPr>
    <w:rPr>
      <w:rFonts w:ascii="Arial" w:hAnsi="Arial"/>
      <w:sz w:val="18"/>
    </w:rPr>
  </w:style>
  <w:style w:type="paragraph" w:styleId="BodyText">
    <w:name w:val="Body Text"/>
    <w:basedOn w:val="Normal"/>
    <w:rsid w:val="00975987"/>
    <w:pPr>
      <w:widowControl w:val="0"/>
    </w:pPr>
    <w:rPr>
      <w:i/>
      <w:lang w:val="en-US"/>
    </w:rPr>
  </w:style>
  <w:style w:type="paragraph" w:styleId="Header">
    <w:name w:val="header"/>
    <w:rsid w:val="00141AF2"/>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aliases w:val="1_"/>
    <w:basedOn w:val="Normal"/>
    <w:link w:val="HeadingCar"/>
    <w:rsid w:val="00975987"/>
    <w:pPr>
      <w:widowControl w:val="0"/>
      <w:spacing w:after="120" w:line="240" w:lineRule="atLeast"/>
      <w:ind w:left="1260" w:hanging="551"/>
    </w:pPr>
    <w:rPr>
      <w:rFonts w:ascii="Arial" w:hAnsi="Arial"/>
      <w:b/>
      <w:sz w:val="22"/>
    </w:rPr>
  </w:style>
  <w:style w:type="paragraph" w:styleId="BodyTextIndent2">
    <w:name w:val="Body Text Indent 2"/>
    <w:basedOn w:val="Normal"/>
    <w:rsid w:val="00975987"/>
    <w:pPr>
      <w:ind w:left="284"/>
      <w:jc w:val="both"/>
    </w:pPr>
    <w:rPr>
      <w:rFonts w:ascii="Arial" w:hAnsi="Arial"/>
      <w:sz w:val="22"/>
    </w:rPr>
  </w:style>
  <w:style w:type="paragraph" w:customStyle="1" w:styleId="TAH">
    <w:name w:val="TAH"/>
    <w:basedOn w:val="TAC"/>
    <w:rsid w:val="00141AF2"/>
    <w:rPr>
      <w:b/>
    </w:rPr>
  </w:style>
  <w:style w:type="paragraph" w:customStyle="1" w:styleId="HE">
    <w:name w:val="HE"/>
    <w:basedOn w:val="Normal"/>
    <w:rsid w:val="00975987"/>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1AF2"/>
    <w:pPr>
      <w:spacing w:before="180"/>
      <w:ind w:left="2693" w:hanging="2693"/>
    </w:pPr>
    <w:rPr>
      <w:b/>
    </w:rPr>
  </w:style>
  <w:style w:type="paragraph" w:styleId="TOC1">
    <w:name w:val="toc 1"/>
    <w:semiHidden/>
    <w:rsid w:val="00141A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41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41AF2"/>
    <w:pPr>
      <w:ind w:left="1701" w:hanging="1701"/>
    </w:pPr>
  </w:style>
  <w:style w:type="paragraph" w:styleId="TOC4">
    <w:name w:val="toc 4"/>
    <w:basedOn w:val="TOC3"/>
    <w:semiHidden/>
    <w:rsid w:val="00141AF2"/>
    <w:pPr>
      <w:ind w:left="1418" w:hanging="1418"/>
    </w:pPr>
  </w:style>
  <w:style w:type="paragraph" w:styleId="TOC3">
    <w:name w:val="toc 3"/>
    <w:basedOn w:val="TOC2"/>
    <w:semiHidden/>
    <w:rsid w:val="00141AF2"/>
    <w:pPr>
      <w:ind w:left="1134" w:hanging="1134"/>
    </w:pPr>
  </w:style>
  <w:style w:type="paragraph" w:styleId="TOC2">
    <w:name w:val="toc 2"/>
    <w:basedOn w:val="TOC1"/>
    <w:semiHidden/>
    <w:rsid w:val="00141AF2"/>
    <w:pPr>
      <w:keepNext w:val="0"/>
      <w:spacing w:before="0"/>
      <w:ind w:left="851" w:hanging="851"/>
    </w:pPr>
    <w:rPr>
      <w:sz w:val="20"/>
    </w:rPr>
  </w:style>
  <w:style w:type="paragraph" w:styleId="Index2">
    <w:name w:val="index 2"/>
    <w:basedOn w:val="Index1"/>
    <w:semiHidden/>
    <w:rsid w:val="00141AF2"/>
    <w:pPr>
      <w:ind w:left="284"/>
    </w:pPr>
  </w:style>
  <w:style w:type="paragraph" w:styleId="Index1">
    <w:name w:val="index 1"/>
    <w:basedOn w:val="Normal"/>
    <w:semiHidden/>
    <w:rsid w:val="00141AF2"/>
    <w:pPr>
      <w:keepLines/>
      <w:spacing w:after="0"/>
    </w:pPr>
  </w:style>
  <w:style w:type="paragraph" w:customStyle="1" w:styleId="ZH">
    <w:name w:val="ZH"/>
    <w:rsid w:val="00141A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41AF2"/>
    <w:pPr>
      <w:outlineLvl w:val="9"/>
    </w:pPr>
  </w:style>
  <w:style w:type="paragraph" w:styleId="ListNumber2">
    <w:name w:val="List Number 2"/>
    <w:basedOn w:val="ListNumber"/>
    <w:rsid w:val="00141AF2"/>
    <w:pPr>
      <w:ind w:left="851"/>
    </w:pPr>
  </w:style>
  <w:style w:type="character" w:styleId="FootnoteReference">
    <w:name w:val="footnote reference"/>
    <w:basedOn w:val="DefaultParagraphFont"/>
    <w:semiHidden/>
    <w:rsid w:val="00141AF2"/>
    <w:rPr>
      <w:b/>
      <w:position w:val="6"/>
      <w:sz w:val="16"/>
    </w:rPr>
  </w:style>
  <w:style w:type="paragraph" w:styleId="FootnoteText">
    <w:name w:val="footnote text"/>
    <w:basedOn w:val="Normal"/>
    <w:semiHidden/>
    <w:rsid w:val="00141AF2"/>
    <w:pPr>
      <w:keepLines/>
      <w:spacing w:after="0"/>
      <w:ind w:left="454" w:hanging="454"/>
    </w:pPr>
    <w:rPr>
      <w:sz w:val="16"/>
    </w:rPr>
  </w:style>
  <w:style w:type="paragraph" w:customStyle="1" w:styleId="TAC">
    <w:name w:val="TAC"/>
    <w:basedOn w:val="TAL"/>
    <w:rsid w:val="00141AF2"/>
    <w:pPr>
      <w:jc w:val="center"/>
    </w:pPr>
  </w:style>
  <w:style w:type="paragraph" w:customStyle="1" w:styleId="TF">
    <w:name w:val="TF"/>
    <w:basedOn w:val="TH"/>
    <w:rsid w:val="00141AF2"/>
    <w:pPr>
      <w:keepNext w:val="0"/>
      <w:spacing w:before="0" w:after="240"/>
    </w:pPr>
  </w:style>
  <w:style w:type="paragraph" w:customStyle="1" w:styleId="NO">
    <w:name w:val="NO"/>
    <w:basedOn w:val="Normal"/>
    <w:rsid w:val="00141AF2"/>
    <w:pPr>
      <w:keepLines/>
      <w:ind w:left="1135" w:hanging="851"/>
    </w:pPr>
  </w:style>
  <w:style w:type="paragraph" w:styleId="TOC9">
    <w:name w:val="toc 9"/>
    <w:basedOn w:val="TOC8"/>
    <w:semiHidden/>
    <w:rsid w:val="00141AF2"/>
    <w:pPr>
      <w:ind w:left="1418" w:hanging="1418"/>
    </w:pPr>
  </w:style>
  <w:style w:type="paragraph" w:customStyle="1" w:styleId="EX">
    <w:name w:val="EX"/>
    <w:basedOn w:val="Normal"/>
    <w:rsid w:val="00141AF2"/>
    <w:pPr>
      <w:keepLines/>
      <w:ind w:left="1702" w:hanging="1418"/>
    </w:pPr>
  </w:style>
  <w:style w:type="paragraph" w:customStyle="1" w:styleId="FP">
    <w:name w:val="FP"/>
    <w:basedOn w:val="Normal"/>
    <w:rsid w:val="00141AF2"/>
    <w:pPr>
      <w:spacing w:after="0"/>
    </w:pPr>
  </w:style>
  <w:style w:type="paragraph" w:customStyle="1" w:styleId="LD">
    <w:name w:val="LD"/>
    <w:rsid w:val="00141AF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41AF2"/>
    <w:pPr>
      <w:spacing w:after="0"/>
    </w:pPr>
  </w:style>
  <w:style w:type="paragraph" w:customStyle="1" w:styleId="EW">
    <w:name w:val="EW"/>
    <w:basedOn w:val="EX"/>
    <w:rsid w:val="00141AF2"/>
    <w:pPr>
      <w:spacing w:after="0"/>
    </w:pPr>
  </w:style>
  <w:style w:type="paragraph" w:styleId="TOC6">
    <w:name w:val="toc 6"/>
    <w:basedOn w:val="TOC5"/>
    <w:next w:val="Normal"/>
    <w:semiHidden/>
    <w:rsid w:val="00141AF2"/>
    <w:pPr>
      <w:ind w:left="1985" w:hanging="1985"/>
    </w:pPr>
  </w:style>
  <w:style w:type="paragraph" w:styleId="TOC7">
    <w:name w:val="toc 7"/>
    <w:basedOn w:val="TOC6"/>
    <w:next w:val="Normal"/>
    <w:semiHidden/>
    <w:rsid w:val="00141AF2"/>
    <w:pPr>
      <w:ind w:left="2268" w:hanging="2268"/>
    </w:pPr>
  </w:style>
  <w:style w:type="paragraph" w:styleId="ListBullet2">
    <w:name w:val="List Bullet 2"/>
    <w:basedOn w:val="ListBullet"/>
    <w:rsid w:val="00141AF2"/>
    <w:pPr>
      <w:ind w:left="851"/>
    </w:pPr>
  </w:style>
  <w:style w:type="paragraph" w:styleId="ListBullet3">
    <w:name w:val="List Bullet 3"/>
    <w:basedOn w:val="ListBullet2"/>
    <w:rsid w:val="00141AF2"/>
    <w:pPr>
      <w:ind w:left="1135"/>
    </w:pPr>
  </w:style>
  <w:style w:type="paragraph" w:styleId="ListNumber">
    <w:name w:val="List Number"/>
    <w:basedOn w:val="List"/>
    <w:rsid w:val="00141AF2"/>
  </w:style>
  <w:style w:type="paragraph" w:customStyle="1" w:styleId="EQ">
    <w:name w:val="EQ"/>
    <w:basedOn w:val="Normal"/>
    <w:next w:val="Normal"/>
    <w:rsid w:val="00141AF2"/>
    <w:pPr>
      <w:keepLines/>
      <w:tabs>
        <w:tab w:val="center" w:pos="4536"/>
        <w:tab w:val="right" w:pos="9072"/>
      </w:tabs>
    </w:pPr>
    <w:rPr>
      <w:noProof/>
    </w:rPr>
  </w:style>
  <w:style w:type="paragraph" w:customStyle="1" w:styleId="TH">
    <w:name w:val="TH"/>
    <w:basedOn w:val="Normal"/>
    <w:rsid w:val="00141AF2"/>
    <w:pPr>
      <w:keepNext/>
      <w:keepLines/>
      <w:spacing w:before="60"/>
      <w:jc w:val="center"/>
    </w:pPr>
    <w:rPr>
      <w:rFonts w:ascii="Arial" w:hAnsi="Arial"/>
      <w:b/>
    </w:rPr>
  </w:style>
  <w:style w:type="paragraph" w:customStyle="1" w:styleId="NF">
    <w:name w:val="NF"/>
    <w:basedOn w:val="NO"/>
    <w:rsid w:val="00141AF2"/>
    <w:pPr>
      <w:keepNext/>
      <w:spacing w:after="0"/>
    </w:pPr>
    <w:rPr>
      <w:rFonts w:ascii="Arial" w:hAnsi="Arial"/>
      <w:sz w:val="18"/>
    </w:rPr>
  </w:style>
  <w:style w:type="paragraph" w:customStyle="1" w:styleId="PL">
    <w:name w:val="PL"/>
    <w:rsid w:val="00141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1AF2"/>
    <w:pPr>
      <w:jc w:val="right"/>
    </w:pPr>
  </w:style>
  <w:style w:type="paragraph" w:customStyle="1" w:styleId="H6">
    <w:name w:val="H6"/>
    <w:basedOn w:val="Heading5"/>
    <w:next w:val="Normal"/>
    <w:rsid w:val="00141AF2"/>
    <w:pPr>
      <w:ind w:left="1985" w:hanging="1985"/>
      <w:outlineLvl w:val="9"/>
    </w:pPr>
    <w:rPr>
      <w:sz w:val="20"/>
    </w:rPr>
  </w:style>
  <w:style w:type="paragraph" w:customStyle="1" w:styleId="TAN">
    <w:name w:val="TAN"/>
    <w:basedOn w:val="TAL"/>
    <w:rsid w:val="00141AF2"/>
    <w:pPr>
      <w:ind w:left="851" w:hanging="851"/>
    </w:pPr>
  </w:style>
  <w:style w:type="paragraph" w:customStyle="1" w:styleId="ZA">
    <w:name w:val="ZA"/>
    <w:rsid w:val="00141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1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41A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41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41AF2"/>
    <w:pPr>
      <w:framePr w:wrap="notBeside" w:y="16161"/>
    </w:pPr>
  </w:style>
  <w:style w:type="character" w:customStyle="1" w:styleId="ZGSM">
    <w:name w:val="ZGSM"/>
    <w:rsid w:val="00141AF2"/>
  </w:style>
  <w:style w:type="paragraph" w:styleId="List2">
    <w:name w:val="List 2"/>
    <w:basedOn w:val="List"/>
    <w:rsid w:val="00141AF2"/>
    <w:pPr>
      <w:ind w:left="851"/>
    </w:pPr>
  </w:style>
  <w:style w:type="paragraph" w:customStyle="1" w:styleId="ZG">
    <w:name w:val="ZG"/>
    <w:rsid w:val="00141A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41AF2"/>
    <w:pPr>
      <w:ind w:left="1135"/>
    </w:pPr>
  </w:style>
  <w:style w:type="paragraph" w:styleId="List4">
    <w:name w:val="List 4"/>
    <w:basedOn w:val="List3"/>
    <w:rsid w:val="00141AF2"/>
    <w:pPr>
      <w:ind w:left="1418"/>
    </w:pPr>
  </w:style>
  <w:style w:type="paragraph" w:styleId="List5">
    <w:name w:val="List 5"/>
    <w:basedOn w:val="List4"/>
    <w:rsid w:val="00141AF2"/>
    <w:pPr>
      <w:ind w:left="1702"/>
    </w:pPr>
  </w:style>
  <w:style w:type="paragraph" w:customStyle="1" w:styleId="EditorsNote">
    <w:name w:val="Editor's Note"/>
    <w:basedOn w:val="NO"/>
    <w:rsid w:val="00141AF2"/>
    <w:rPr>
      <w:color w:val="FF0000"/>
    </w:rPr>
  </w:style>
  <w:style w:type="paragraph" w:styleId="List">
    <w:name w:val="List"/>
    <w:basedOn w:val="Normal"/>
    <w:rsid w:val="00141AF2"/>
    <w:pPr>
      <w:ind w:left="568" w:hanging="284"/>
    </w:pPr>
  </w:style>
  <w:style w:type="paragraph" w:styleId="ListBullet">
    <w:name w:val="List Bullet"/>
    <w:basedOn w:val="List"/>
    <w:rsid w:val="00141AF2"/>
  </w:style>
  <w:style w:type="paragraph" w:styleId="ListBullet4">
    <w:name w:val="List Bullet 4"/>
    <w:basedOn w:val="ListBullet3"/>
    <w:rsid w:val="00141AF2"/>
    <w:pPr>
      <w:ind w:left="1418"/>
    </w:pPr>
  </w:style>
  <w:style w:type="paragraph" w:styleId="ListBullet5">
    <w:name w:val="List Bullet 5"/>
    <w:basedOn w:val="ListBullet4"/>
    <w:rsid w:val="00141AF2"/>
    <w:pPr>
      <w:ind w:left="1702"/>
    </w:pPr>
  </w:style>
  <w:style w:type="paragraph" w:customStyle="1" w:styleId="B1">
    <w:name w:val="B1"/>
    <w:basedOn w:val="List"/>
    <w:rsid w:val="00141AF2"/>
  </w:style>
  <w:style w:type="paragraph" w:customStyle="1" w:styleId="B2">
    <w:name w:val="B2"/>
    <w:basedOn w:val="List2"/>
    <w:rsid w:val="00141AF2"/>
  </w:style>
  <w:style w:type="paragraph" w:customStyle="1" w:styleId="B3">
    <w:name w:val="B3"/>
    <w:basedOn w:val="List3"/>
    <w:rsid w:val="00141AF2"/>
  </w:style>
  <w:style w:type="paragraph" w:customStyle="1" w:styleId="B4">
    <w:name w:val="B4"/>
    <w:basedOn w:val="List4"/>
    <w:rsid w:val="00141AF2"/>
  </w:style>
  <w:style w:type="paragraph" w:customStyle="1" w:styleId="B5">
    <w:name w:val="B5"/>
    <w:basedOn w:val="List5"/>
    <w:rsid w:val="00141AF2"/>
  </w:style>
  <w:style w:type="paragraph" w:styleId="Footer">
    <w:name w:val="footer"/>
    <w:basedOn w:val="Header"/>
    <w:rsid w:val="00141AF2"/>
    <w:pPr>
      <w:jc w:val="center"/>
    </w:pPr>
    <w:rPr>
      <w:i/>
    </w:rPr>
  </w:style>
  <w:style w:type="paragraph" w:customStyle="1" w:styleId="ZTD">
    <w:name w:val="ZTD"/>
    <w:basedOn w:val="ZB"/>
    <w:rsid w:val="00141A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6E1476"/>
    <w:rPr>
      <w:color w:val="808080"/>
      <w:shd w:val="clear" w:color="auto" w:fill="E6E6E6"/>
    </w:rPr>
  </w:style>
  <w:style w:type="character" w:customStyle="1" w:styleId="HeadingCar">
    <w:name w:val="Heading Car"/>
    <w:aliases w:val="1_ Car"/>
    <w:link w:val="Heading"/>
    <w:rsid w:val="006E1476"/>
    <w:rPr>
      <w:rFonts w:ascii="Arial" w:hAnsi="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hall@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6DFD2-D588-440F-9DE2-FA983FC2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TD SP-170835</vt:lpstr>
    </vt:vector>
  </TitlesOfParts>
  <Manager>Paolo Usai</Manager>
  <Company>ETSI - MCC Support</Company>
  <LinksUpToDate>false</LinksUpToDate>
  <CharactersWithSpaces>2939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 SP-170835</dc:title>
  <dc:subject>New WID on Receive acoustic output test in the presence of background noise</dc:subject>
  <dc:creator>TSG SA WG4</dc:creator>
  <cp:keywords>WID template</cp:keywords>
  <cp:lastModifiedBy>Eddy Hall</cp:lastModifiedBy>
  <cp:revision>2</cp:revision>
  <cp:lastPrinted>2000-02-29T10:31:00Z</cp:lastPrinted>
  <dcterms:created xsi:type="dcterms:W3CDTF">2017-12-13T08:48:00Z</dcterms:created>
  <dcterms:modified xsi:type="dcterms:W3CDTF">2017-12-13T08:48:00Z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